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37367" w:rsidRPr="00C367D6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7367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37367">
        <w:rPr>
          <w:rFonts w:ascii="Times New Roman" w:hAnsi="Times New Roman" w:cs="Times New Roman"/>
          <w:bCs/>
          <w:sz w:val="24"/>
        </w:rPr>
        <w:t xml:space="preserve"> </w:t>
      </w:r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Сельской Думы сельского поселения «Село </w:t>
      </w:r>
      <w:proofErr w:type="gramStart"/>
      <w:r w:rsidR="00437367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», </w:t>
      </w:r>
    </w:p>
    <w:p w:rsidR="00437367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по десятимандатному избирательному округу № 1</w:t>
      </w:r>
      <w:r w:rsidR="00F27D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37367" w:rsidRDefault="00B146AB" w:rsidP="00437367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</w:t>
      </w:r>
    </w:p>
    <w:p w:rsidR="00F27DA9" w:rsidRPr="00D22BC5" w:rsidRDefault="00792834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  <w:t>Сорокина Антонина Ивановна</w:t>
      </w:r>
      <w:r w:rsidR="00F27DA9">
        <w:rPr>
          <w:rFonts w:ascii="Times New Roman" w:hAnsi="Times New Roman" w:cs="Times New Roman"/>
          <w:sz w:val="26"/>
          <w:u w:val="single"/>
        </w:rPr>
        <w:tab/>
      </w:r>
      <w:r w:rsidR="00F27DA9">
        <w:rPr>
          <w:rFonts w:ascii="Times New Roman" w:hAnsi="Times New Roman" w:cs="Times New Roman"/>
          <w:sz w:val="26"/>
          <w:u w:val="single"/>
        </w:rPr>
        <w:tab/>
      </w:r>
      <w:r w:rsidR="00F27DA9">
        <w:rPr>
          <w:rFonts w:ascii="Times New Roman" w:hAnsi="Times New Roman" w:cs="Times New Roman"/>
          <w:sz w:val="26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37367" w:rsidRPr="00A73D82" w:rsidRDefault="00437367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 </w:t>
      </w:r>
      <w:proofErr w:type="gramStart"/>
      <w:r w:rsidR="00F27DA9"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437367" w:rsidRPr="00A73D82" w:rsidRDefault="00437367" w:rsidP="0043736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0C3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437367" w:rsidRPr="00A73D82" w:rsidRDefault="00437367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840C31">
        <w:rPr>
          <w:rFonts w:ascii="Times New Roman" w:hAnsi="Times New Roman" w:cs="Times New Roman"/>
          <w:sz w:val="24"/>
          <w:u w:val="single"/>
        </w:rPr>
        <w:t xml:space="preserve"> </w:t>
      </w:r>
      <w:r w:rsidR="00840C31">
        <w:rPr>
          <w:rFonts w:ascii="Times New Roman" w:hAnsi="Times New Roman" w:cs="Times New Roman"/>
          <w:sz w:val="24"/>
          <w:u w:val="single"/>
        </w:rPr>
        <w:tab/>
        <w:t xml:space="preserve">18.10.2015   </w:t>
      </w:r>
      <w:r w:rsidR="00792834">
        <w:rPr>
          <w:rFonts w:ascii="Times New Roman" w:hAnsi="Times New Roman" w:cs="Times New Roman"/>
          <w:sz w:val="24"/>
          <w:u w:val="single"/>
        </w:rPr>
        <w:t xml:space="preserve">А. </w:t>
      </w:r>
      <w:r w:rsidR="00840C31">
        <w:rPr>
          <w:rFonts w:ascii="Times New Roman" w:hAnsi="Times New Roman" w:cs="Times New Roman"/>
          <w:sz w:val="24"/>
          <w:u w:val="single"/>
        </w:rPr>
        <w:t>И.</w:t>
      </w:r>
      <w:r w:rsidR="00792834">
        <w:rPr>
          <w:rFonts w:ascii="Times New Roman" w:hAnsi="Times New Roman" w:cs="Times New Roman"/>
          <w:sz w:val="24"/>
          <w:u w:val="single"/>
        </w:rPr>
        <w:t>Сорокина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sectPr w:rsidR="00F27DA9" w:rsidSect="00D56BE3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16560F"/>
    <w:rsid w:val="00285908"/>
    <w:rsid w:val="002C2810"/>
    <w:rsid w:val="00312C2A"/>
    <w:rsid w:val="00323A8C"/>
    <w:rsid w:val="003B5C30"/>
    <w:rsid w:val="00437367"/>
    <w:rsid w:val="005B38CF"/>
    <w:rsid w:val="00753418"/>
    <w:rsid w:val="00792834"/>
    <w:rsid w:val="007C4AE3"/>
    <w:rsid w:val="00840C31"/>
    <w:rsid w:val="00866C61"/>
    <w:rsid w:val="009002DE"/>
    <w:rsid w:val="00B146AB"/>
    <w:rsid w:val="00B526A2"/>
    <w:rsid w:val="00C85611"/>
    <w:rsid w:val="00CD54F9"/>
    <w:rsid w:val="00D00914"/>
    <w:rsid w:val="00D22BC5"/>
    <w:rsid w:val="00D24E24"/>
    <w:rsid w:val="00D56BE3"/>
    <w:rsid w:val="00E76E85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2015-10-20T05:25:00Z</cp:lastPrinted>
  <dcterms:created xsi:type="dcterms:W3CDTF">2015-10-20T05:22:00Z</dcterms:created>
  <dcterms:modified xsi:type="dcterms:W3CDTF">2015-10-20T05:37:00Z</dcterms:modified>
</cp:coreProperties>
</file>