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КАЛУЖСКАЯ ОБЛАСТЬ ЛЮДИНОВСКИЙ РАЙОН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АДМИНИСТРАЦИЯ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(ИСПОЛНИТЕЛЬНО-РАСПОРЯДИТЕЛЬНЫЙ ОРГАН)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 СЕЛЬСКОГО ПОСЕЛЕНИЯ «ДЕРЕВНЯ 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»</w:t>
      </w:r>
    </w:p>
    <w:p w:rsid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 О С Т А Н О В Л Е Н И Е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> </w:t>
      </w:r>
      <w:r w:rsidR="00C97FC2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>21 апреля 2020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 xml:space="preserve"> года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        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 xml:space="preserve">№ </w:t>
      </w:r>
      <w:r w:rsidR="00C97FC2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>22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</w:tblGrid>
      <w:tr w:rsidR="00BC02C2" w:rsidRPr="00BC02C2" w:rsidTr="00BC02C2">
        <w:tc>
          <w:tcPr>
            <w:tcW w:w="4884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Об утверждении отчета о ходе реализации и оценке эффективности муниципальной программы «Совершенствование системы управления органами местного самоуправления сельского поселения «Деревня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Заболотье</w:t>
            </w:r>
            <w:r w:rsidRPr="00BC02C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18 </w:t>
            </w:r>
            <w:r w:rsidRPr="00BC02C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23</w:t>
            </w:r>
            <w:r w:rsidRPr="00BC02C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годы» за 201</w:t>
            </w:r>
            <w:r w:rsidR="00C97FC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9</w:t>
            </w:r>
            <w:r w:rsidRPr="00BC02C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год»</w:t>
            </w:r>
          </w:p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         В соответствии с постановлением администрации сельского поселения «Деревня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25.12.2013 г.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59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«Об утверждении Порядка принятия решений о разработке, формировании и реализации муниципальных программ сельского поселения «Деревня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»», администрация сельского поселения «Деревня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П О С Т А Н О В Л Я Е Т: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отчет о ходе реализации и оценке эффективности муниципальной программы «Совершенствование системы управления органами местного самоуправления сельского поселения «Деревня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18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23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годы» за 201</w:t>
      </w:r>
      <w:r w:rsidR="00C97F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9 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год согласно приложения к настоящему постановлению.</w:t>
      </w:r>
    </w:p>
    <w:p w:rsidR="00BC02C2" w:rsidRPr="00BC02C2" w:rsidRDefault="00BC02C2" w:rsidP="00BC02C2">
      <w:pPr>
        <w:shd w:val="clear" w:color="auto" w:fill="FFFFFF"/>
        <w:tabs>
          <w:tab w:val="num" w:pos="0"/>
        </w:tabs>
        <w:spacing w:after="100" w:line="240" w:lineRule="auto"/>
        <w:ind w:firstLine="567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подлежит официальному опубликованию (обнародованию).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Глава администрации сельского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Поселения «Деревня 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»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В.П.Соколов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lastRenderedPageBreak/>
        <w:t>Приложение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к постановлению администрации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 сельского поселения «Деревня Заболотье»</w:t>
      </w:r>
    </w:p>
    <w:p w:rsidR="00BC02C2" w:rsidRPr="00BC02C2" w:rsidRDefault="00C97FC2" w:rsidP="00BC02C2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21.04.2020 </w:t>
      </w:r>
      <w:proofErr w:type="spellStart"/>
      <w: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г.</w:t>
      </w:r>
      <w:r w:rsidR="00BC02C2" w:rsidRPr="00BC02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№</w:t>
      </w:r>
      <w:proofErr w:type="spellEnd"/>
      <w:r w:rsidR="00BC02C2" w:rsidRPr="00BC02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22</w:t>
      </w:r>
    </w:p>
    <w:p w:rsidR="00BC02C2" w:rsidRPr="00BC02C2" w:rsidRDefault="00BC02C2" w:rsidP="00B900A3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ОТЧЕТ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 ходе реализации и оценке эффективности муниципальной программы «Совершенствование системы управления органами местного самоуправления сельского поселения «Деревня 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8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23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годы» за 20</w:t>
      </w:r>
      <w:r w:rsidR="00C97F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19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год</w:t>
      </w:r>
    </w:p>
    <w:p w:rsidR="00BC02C2" w:rsidRPr="00B900A3" w:rsidRDefault="00BC02C2" w:rsidP="00B900A3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  </w:t>
      </w: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Муниципальным заказчиком муниципальной программы «Совершенствование системы управления органами местного самоуправления сельского поселения «Деревня Заболотье на 2018-2023 годы», исполнителем мероприятий муниципальной программы выступала администрация сельского поселения «Деревня Заболотье».</w:t>
      </w:r>
    </w:p>
    <w:p w:rsidR="00BC02C2" w:rsidRPr="00B900A3" w:rsidRDefault="00BC02C2" w:rsidP="00BC02C2">
      <w:pPr>
        <w:shd w:val="clear" w:color="auto" w:fill="FFFFFF"/>
        <w:spacing w:after="100" w:line="240" w:lineRule="auto"/>
        <w:ind w:firstLine="709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Основными целями муниципальной программы «Совершенствование системы управления органами местного самоуправления сельского поселения «Деревня Заболотье на 2018-2023 годы» были: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6"/>
      </w:tblGrid>
      <w:tr w:rsidR="00BC02C2" w:rsidRPr="00B900A3" w:rsidTr="00BC02C2">
        <w:tc>
          <w:tcPr>
            <w:tcW w:w="0" w:type="auto"/>
            <w:shd w:val="clear" w:color="auto" w:fill="FFFFFF"/>
            <w:vAlign w:val="center"/>
            <w:hideMark/>
          </w:tcPr>
          <w:p w:rsidR="00BC02C2" w:rsidRPr="00B900A3" w:rsidRDefault="00BC02C2" w:rsidP="00BC02C2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i/>
                <w:color w:val="282828"/>
                <w:sz w:val="20"/>
                <w:szCs w:val="20"/>
                <w:lang w:eastAsia="ru-RU"/>
              </w:rPr>
              <w:t>·         Обеспечение эффективности деятельности администрации муниципального образования сельского поселения «Деревня Заболотье»;</w:t>
            </w:r>
          </w:p>
          <w:p w:rsidR="00BC02C2" w:rsidRPr="00B900A3" w:rsidRDefault="00BC02C2" w:rsidP="00BC02C2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i/>
                <w:color w:val="282828"/>
                <w:sz w:val="20"/>
                <w:szCs w:val="20"/>
                <w:lang w:eastAsia="ru-RU"/>
              </w:rPr>
              <w:t>·         Повышение эффективности системы муниципального управления;</w:t>
            </w:r>
          </w:p>
          <w:p w:rsidR="00BC02C2" w:rsidRPr="00B900A3" w:rsidRDefault="00BC02C2" w:rsidP="00BC02C2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i/>
                <w:color w:val="282828"/>
                <w:sz w:val="20"/>
                <w:szCs w:val="20"/>
                <w:lang w:eastAsia="ru-RU"/>
              </w:rPr>
              <w:t>·         Развитие материально – технической базы органов местного самоуправления муниципального образования.</w:t>
            </w:r>
          </w:p>
        </w:tc>
      </w:tr>
    </w:tbl>
    <w:p w:rsidR="00BC02C2" w:rsidRPr="00B900A3" w:rsidRDefault="00BC02C2" w:rsidP="00C97FC2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 Администрация сельского поселения «Деревня Заболотье» в 2018 году  осуществляла свою деятельность в рамках муниципальной программы сельского поселения «Деревня Заболотье» в соответствии с полномочиями, определенными ст. 14  Федерального Закона от 06.10.2003 №131-ФЗ «Об общих принципах организации местного самоуправления в Российской Федерации», Уставом сельского поселения «Деревня Заболотье», Конституцией Российской Федерации, Федеральным законодательством, законодательством Калужской области, нормативно-правовыми актами, принятыми  Сельской Думой сельского поселения «Деревня Заболотье» и администрацией сельского поселения «Деревня Заболотье».</w:t>
      </w:r>
    </w:p>
    <w:p w:rsidR="00BC02C2" w:rsidRPr="00B900A3" w:rsidRDefault="00BC02C2" w:rsidP="00C97FC2">
      <w:pPr>
        <w:shd w:val="clear" w:color="auto" w:fill="FFFFFF"/>
        <w:spacing w:after="100" w:line="240" w:lineRule="auto"/>
        <w:ind w:firstLine="851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Первоначально на реализацию муниципальной программы «Совершенствование системы управления органами местного самоуправления сельского поселения «Деревня Заболотье на 2018-2023 годы» в 2018 году было предусмотрено </w:t>
      </w:r>
      <w:r w:rsidR="00C97F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2532,3</w:t>
      </w: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тыс. рублей за счет средств бюджета поселения. Однако, исходя из возможностей бюджета сельского поселения «Деревня Заболотье» и с учетом всех внесенных изменений в ходе реализации программных мероприятий, за счет средств бюджета поселения запланировано </w:t>
      </w:r>
      <w:r w:rsidR="00C97F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4728,0</w:t>
      </w: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тыс. рублей. Фактическое исполнение программных мероприятий составило </w:t>
      </w:r>
      <w:r w:rsidR="00C97F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4682,0</w:t>
      </w: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тыс. рублей или 9</w:t>
      </w:r>
      <w:r w:rsidR="00C97FC2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9</w:t>
      </w: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%.</w:t>
      </w:r>
    </w:p>
    <w:p w:rsidR="00BC02C2" w:rsidRPr="00B900A3" w:rsidRDefault="00BC02C2" w:rsidP="00C97FC2">
      <w:pPr>
        <w:shd w:val="clear" w:color="auto" w:fill="FFFFFF"/>
        <w:spacing w:after="100" w:line="240" w:lineRule="auto"/>
        <w:ind w:firstLine="851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Финансирование всех программных мероприятий осуществлялось за счет собственных средств бюджета сельского поселения «Деревня Заболотье».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900A3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 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Выполнение мероприятий Программы в 201</w:t>
      </w:r>
      <w:r w:rsidR="00C97F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9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172"/>
        <w:gridCol w:w="1674"/>
        <w:gridCol w:w="1626"/>
        <w:gridCol w:w="1353"/>
        <w:gridCol w:w="1236"/>
      </w:tblGrid>
      <w:tr w:rsidR="00BC02C2" w:rsidRPr="00BC02C2" w:rsidTr="001E0618">
        <w:tc>
          <w:tcPr>
            <w:tcW w:w="564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 </w:t>
            </w: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 xml:space="preserve">№ </w:t>
            </w:r>
            <w:proofErr w:type="spellStart"/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>п</w:t>
            </w:r>
            <w:proofErr w:type="spellEnd"/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>/</w:t>
            </w:r>
            <w:proofErr w:type="spellStart"/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>п</w:t>
            </w:r>
            <w:proofErr w:type="spellEnd"/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>Источники финансирования</w:t>
            </w:r>
          </w:p>
        </w:tc>
        <w:tc>
          <w:tcPr>
            <w:tcW w:w="1674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 xml:space="preserve">Утверждено </w:t>
            </w:r>
          </w:p>
        </w:tc>
        <w:tc>
          <w:tcPr>
            <w:tcW w:w="1626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>Уточненный план</w:t>
            </w: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>Фактическое исполнение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lang w:eastAsia="ru-RU"/>
              </w:rPr>
              <w:t>% исполнения</w:t>
            </w:r>
          </w:p>
        </w:tc>
      </w:tr>
      <w:tr w:rsidR="00BC02C2" w:rsidRPr="00BC02C2" w:rsidTr="001E0618">
        <w:tc>
          <w:tcPr>
            <w:tcW w:w="564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674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6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BC02C2" w:rsidRPr="00BC02C2" w:rsidTr="001E0618">
        <w:tc>
          <w:tcPr>
            <w:tcW w:w="564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674" w:type="dxa"/>
            <w:shd w:val="clear" w:color="auto" w:fill="FFFFFF"/>
            <w:vAlign w:val="center"/>
            <w:hideMark/>
          </w:tcPr>
          <w:p w:rsidR="00BC02C2" w:rsidRPr="00BC02C2" w:rsidRDefault="00C97F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4090,0</w:t>
            </w:r>
          </w:p>
        </w:tc>
        <w:tc>
          <w:tcPr>
            <w:tcW w:w="1626" w:type="dxa"/>
            <w:shd w:val="clear" w:color="auto" w:fill="FFFFFF"/>
            <w:vAlign w:val="center"/>
            <w:hideMark/>
          </w:tcPr>
          <w:p w:rsidR="00BC02C2" w:rsidRPr="00BC02C2" w:rsidRDefault="00C97F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4728,0</w:t>
            </w: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BC02C2" w:rsidRPr="00BC02C2" w:rsidRDefault="00C97F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4682,0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BC02C2" w:rsidRPr="00BC02C2" w:rsidRDefault="00C97F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99</w:t>
            </w:r>
          </w:p>
        </w:tc>
      </w:tr>
      <w:tr w:rsidR="00BC02C2" w:rsidRPr="00BC02C2" w:rsidTr="001E0618">
        <w:tc>
          <w:tcPr>
            <w:tcW w:w="564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74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BC02C2" w:rsidRPr="00BC02C2" w:rsidTr="001E0618">
        <w:tc>
          <w:tcPr>
            <w:tcW w:w="564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BC02C2" w:rsidRPr="00BC02C2" w:rsidRDefault="00BC02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расходов областного бюджета</w:t>
            </w:r>
          </w:p>
        </w:tc>
        <w:tc>
          <w:tcPr>
            <w:tcW w:w="1674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6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</w:tr>
      <w:tr w:rsidR="00C97FC2" w:rsidRPr="00BC02C2" w:rsidTr="001E0618">
        <w:tc>
          <w:tcPr>
            <w:tcW w:w="564" w:type="dxa"/>
            <w:shd w:val="clear" w:color="auto" w:fill="FFFFFF"/>
            <w:vAlign w:val="center"/>
            <w:hideMark/>
          </w:tcPr>
          <w:p w:rsidR="00C97FC2" w:rsidRPr="00BC02C2" w:rsidRDefault="00C97F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C97FC2" w:rsidRPr="00BC02C2" w:rsidRDefault="00C97FC2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4" w:type="dxa"/>
            <w:shd w:val="clear" w:color="auto" w:fill="FFFFFF"/>
            <w:vAlign w:val="center"/>
            <w:hideMark/>
          </w:tcPr>
          <w:p w:rsidR="00C97FC2" w:rsidRPr="00C97FC2" w:rsidRDefault="00C97FC2" w:rsidP="00D63A4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</w:pPr>
            <w:r w:rsidRPr="00C97FC2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4090,0</w:t>
            </w:r>
          </w:p>
        </w:tc>
        <w:tc>
          <w:tcPr>
            <w:tcW w:w="1626" w:type="dxa"/>
            <w:shd w:val="clear" w:color="auto" w:fill="FFFFFF"/>
            <w:vAlign w:val="center"/>
            <w:hideMark/>
          </w:tcPr>
          <w:p w:rsidR="00C97FC2" w:rsidRPr="00C97FC2" w:rsidRDefault="00C97FC2" w:rsidP="00D63A4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</w:pPr>
            <w:r w:rsidRPr="00C97FC2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4728,0</w:t>
            </w: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C97FC2" w:rsidRPr="00C97FC2" w:rsidRDefault="00C97FC2" w:rsidP="00D63A4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</w:pPr>
            <w:r w:rsidRPr="00C97FC2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4682,0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97FC2" w:rsidRPr="00C97FC2" w:rsidRDefault="00C97FC2" w:rsidP="00D63A4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</w:pPr>
            <w:r w:rsidRPr="00C97FC2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99</w:t>
            </w:r>
          </w:p>
        </w:tc>
      </w:tr>
    </w:tbl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C02C2" w:rsidRPr="00BC02C2" w:rsidRDefault="00BC02C2" w:rsidP="001E0618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В 201</w:t>
      </w:r>
      <w:r w:rsidR="00C97F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9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году проведена разработка планов действий в чрезвычайных ситуациях; организация программного обучения населения, подготовка нештатных формирований.</w:t>
      </w:r>
    </w:p>
    <w:p w:rsidR="00BC02C2" w:rsidRDefault="00BC02C2" w:rsidP="001E0618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 В 201</w:t>
      </w:r>
      <w:r w:rsidR="00C97F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9 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году выполнены следующие работы:</w:t>
      </w:r>
    </w:p>
    <w:tbl>
      <w:tblPr>
        <w:tblW w:w="9224" w:type="dxa"/>
        <w:tblInd w:w="98" w:type="dxa"/>
        <w:tblLook w:val="04A0"/>
      </w:tblPr>
      <w:tblGrid>
        <w:gridCol w:w="9224"/>
      </w:tblGrid>
      <w:tr w:rsidR="00B900A3" w:rsidRPr="001E0618" w:rsidTr="00B900A3">
        <w:trPr>
          <w:trHeight w:val="20"/>
        </w:trPr>
        <w:tc>
          <w:tcPr>
            <w:tcW w:w="922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Выплаты депутатам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Заработная плата Аппарат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выплаты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Начисления на выплаты по оплате труда  Аппарат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имущества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Транспортные услуги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имущества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работы, услуги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Увеличение стоимости основных средств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Увеличение стоимости материальных запасов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Налоги, пошлины и сборы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расходы штрафы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Штрафы за нарушение законодательства о налогах и сборах, законодательства о страховых взносах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Штрафы за нарушение законодательства о закупках и нарушение условий контрактов (договоров)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Заработная плата главы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Начисления на выплаты по оплате труда Глава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Транспортные услуги Другие общегосударственные вопросы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имущества Другие общегосударственные вопросы 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работы, услуги Другие общегосударственные вопросы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расходы Другие общегосударственные вопросы 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Иные расходы Другие общегосударственные вопросы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5D0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Увеличение стоимости материальных запасов</w:t>
            </w:r>
          </w:p>
        </w:tc>
      </w:tr>
      <w:tr w:rsidR="00B900A3" w:rsidRPr="001E0618" w:rsidTr="00B900A3">
        <w:trPr>
          <w:trHeight w:val="20"/>
        </w:trPr>
        <w:tc>
          <w:tcPr>
            <w:tcW w:w="9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B900A3" w:rsidRPr="001E0618" w:rsidRDefault="00B900A3" w:rsidP="001E0618">
            <w:pPr>
              <w:spacing w:after="0" w:line="240" w:lineRule="auto"/>
              <w:ind w:firstLine="0"/>
              <w:jc w:val="left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</w:tr>
    </w:tbl>
    <w:p w:rsidR="001E0618" w:rsidRDefault="001E0618" w:rsidP="001E0618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BC02C2" w:rsidRPr="00BC02C2" w:rsidRDefault="00BC02C2" w:rsidP="001E0618">
      <w:pPr>
        <w:shd w:val="clear" w:color="auto" w:fill="FFFFFF"/>
        <w:spacing w:after="100" w:line="240" w:lineRule="auto"/>
        <w:ind w:firstLine="709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Бюджетная эффективность выполнения по ведомственной целевой программе «Совершенствование системы управления органами местного самоуправления сельского поселения «Деревня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 на 201</w:t>
      </w:r>
      <w:r w:rsidR="001E061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-20</w:t>
      </w:r>
      <w:r w:rsidR="001E061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23 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годы» определяется как степень реализации расходных обязательств.</w:t>
      </w:r>
    </w:p>
    <w:p w:rsidR="00BC02C2" w:rsidRPr="00BC02C2" w:rsidRDefault="00BC02C2" w:rsidP="001E0618">
      <w:pPr>
        <w:shd w:val="clear" w:color="auto" w:fill="FFFFFF"/>
        <w:spacing w:after="100" w:line="240" w:lineRule="auto"/>
        <w:ind w:firstLine="709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Оценка бюджетной эффективности выполнения по ведомственной целевой программе «Совершенствование системы управления органами местного самоуправления сельского поселения «Деревня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 на 201</w:t>
      </w:r>
      <w:r w:rsidR="001E061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-20</w:t>
      </w:r>
      <w:r w:rsidR="001E061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23 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годы» за 201</w:t>
      </w:r>
      <w:r w:rsidR="00C97F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9</w:t>
      </w:r>
      <w:r w:rsidR="001E061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год выглядит следующим образом:</w:t>
      </w:r>
    </w:p>
    <w:p w:rsidR="00BC02C2" w:rsidRPr="00BC02C2" w:rsidRDefault="00BC02C2" w:rsidP="001E0618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</w:pPr>
      <w:proofErr w:type="spellStart"/>
      <w:r w:rsidRPr="00BC02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>Эбюд</w:t>
      </w:r>
      <w:proofErr w:type="spellEnd"/>
      <w:r w:rsidRPr="00BC02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 xml:space="preserve"> = ( </w:t>
      </w:r>
      <w:r w:rsidR="00C97F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>4682/2532,3</w:t>
      </w:r>
      <w:r w:rsidRPr="00BC02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 xml:space="preserve">) </w:t>
      </w:r>
      <w:proofErr w:type="spellStart"/>
      <w:r w:rsidRPr="00BC02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>х</w:t>
      </w:r>
      <w:proofErr w:type="spellEnd"/>
      <w:r w:rsidRPr="00BC02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 xml:space="preserve"> 100 =  </w:t>
      </w:r>
      <w:r w:rsidR="00C97F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>185</w:t>
      </w:r>
      <w:r w:rsidRPr="00BC02C2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ru-RU"/>
        </w:rPr>
        <w:t>%.</w:t>
      </w:r>
    </w:p>
    <w:p w:rsidR="00BC02C2" w:rsidRPr="00BC02C2" w:rsidRDefault="00BC02C2" w:rsidP="001E0618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1E0618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1E0618" w:rsidRDefault="001E0618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1E0618" w:rsidRDefault="001E0618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1E0618" w:rsidRDefault="001E0618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1E0618" w:rsidRDefault="001E0618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1E0618" w:rsidRDefault="001E0618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1E0618" w:rsidRDefault="001E0618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1E0618" w:rsidRDefault="001E0618" w:rsidP="00BC02C2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sectPr w:rsidR="001E0618" w:rsidSect="00B900A3">
          <w:pgSz w:w="11906" w:h="16838"/>
          <w:pgMar w:top="993" w:right="707" w:bottom="1134" w:left="993" w:header="708" w:footer="708" w:gutter="0"/>
          <w:cols w:space="708"/>
          <w:docGrid w:linePitch="360"/>
        </w:sectPr>
      </w:pP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Таблица №1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ОТЧЕТ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br/>
        <w:t>о реализации муниципальной программы за 201</w:t>
      </w:r>
      <w:r w:rsidR="00C97F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9</w:t>
      </w:r>
      <w:r w:rsidR="001E061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год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«Совершенствование системы управления органами местного самоуправления сельского поселения «Деревня 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Заболотье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на 201</w:t>
      </w:r>
      <w:r w:rsidR="001E061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8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-20</w:t>
      </w:r>
      <w:r w:rsidR="001E061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23</w:t>
      </w:r>
      <w:r w:rsidRPr="00BC02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годы»</w:t>
      </w:r>
    </w:p>
    <w:p w:rsidR="00BC02C2" w:rsidRPr="00BC02C2" w:rsidRDefault="00BC02C2" w:rsidP="00BC02C2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C02C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(тыс. рублей)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3260"/>
        <w:gridCol w:w="690"/>
        <w:gridCol w:w="586"/>
        <w:gridCol w:w="533"/>
        <w:gridCol w:w="696"/>
        <w:gridCol w:w="614"/>
        <w:gridCol w:w="1082"/>
        <w:gridCol w:w="516"/>
        <w:gridCol w:w="528"/>
        <w:gridCol w:w="690"/>
        <w:gridCol w:w="418"/>
        <w:gridCol w:w="746"/>
        <w:gridCol w:w="576"/>
        <w:gridCol w:w="547"/>
        <w:gridCol w:w="690"/>
        <w:gridCol w:w="727"/>
        <w:gridCol w:w="1685"/>
      </w:tblGrid>
      <w:tr w:rsidR="001E0618" w:rsidRPr="00BC02C2" w:rsidTr="00B900A3">
        <w:trPr>
          <w:tblHeader/>
        </w:trPr>
        <w:tc>
          <w:tcPr>
            <w:tcW w:w="299" w:type="dxa"/>
            <w:vMerge w:val="restart"/>
            <w:shd w:val="clear" w:color="auto" w:fill="FFFFFF"/>
            <w:vAlign w:val="center"/>
            <w:hideMark/>
          </w:tcPr>
          <w:p w:rsidR="00BC02C2" w:rsidRPr="00BC02C2" w:rsidRDefault="001E0618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  <w:hideMark/>
          </w:tcPr>
          <w:p w:rsidR="00BC02C2" w:rsidRPr="00BC02C2" w:rsidRDefault="001E0618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shd w:val="clear" w:color="auto" w:fill="FFFFFF"/>
            <w:vAlign w:val="center"/>
            <w:hideMark/>
          </w:tcPr>
          <w:p w:rsidR="00BC02C2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Объем ассигнований в соответствии</w:t>
            </w:r>
            <w:r w:rsidRPr="00420EA4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 xml:space="preserve"> с утвержденным бюджетом</w:t>
            </w:r>
          </w:p>
        </w:tc>
        <w:tc>
          <w:tcPr>
            <w:tcW w:w="3234" w:type="dxa"/>
            <w:gridSpan w:val="5"/>
            <w:shd w:val="clear" w:color="auto" w:fill="FFFFFF"/>
            <w:vAlign w:val="center"/>
            <w:hideMark/>
          </w:tcPr>
          <w:p w:rsidR="001E0618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Уточненный план ассигнований</w:t>
            </w:r>
          </w:p>
          <w:p w:rsidR="001E0618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на 201</w:t>
            </w:r>
            <w:r w:rsidRPr="00420EA4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8</w:t>
            </w: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 xml:space="preserve"> год</w:t>
            </w:r>
          </w:p>
          <w:p w:rsidR="00BC02C2" w:rsidRPr="00BC02C2" w:rsidRDefault="00BC02C2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</w:p>
        </w:tc>
        <w:tc>
          <w:tcPr>
            <w:tcW w:w="3286" w:type="dxa"/>
            <w:gridSpan w:val="5"/>
            <w:shd w:val="clear" w:color="auto" w:fill="FFFFFF"/>
            <w:vAlign w:val="center"/>
            <w:hideMark/>
          </w:tcPr>
          <w:p w:rsidR="001E0618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Исполнено (кассовые расходы)</w:t>
            </w:r>
          </w:p>
          <w:p w:rsidR="00BC02C2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в 201</w:t>
            </w:r>
            <w:r w:rsidRPr="00420EA4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 xml:space="preserve">8 </w:t>
            </w: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1E0618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Объемы</w:t>
            </w:r>
          </w:p>
          <w:p w:rsidR="001E0618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не освоен</w:t>
            </w: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softHyphen/>
              <w:t>ных</w:t>
            </w:r>
          </w:p>
          <w:p w:rsidR="00BC02C2" w:rsidRPr="00BC02C2" w:rsidRDefault="001E0618" w:rsidP="001E061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1E0618" w:rsidRPr="00BC02C2" w:rsidTr="00B900A3">
        <w:tc>
          <w:tcPr>
            <w:tcW w:w="299" w:type="dxa"/>
            <w:vMerge/>
            <w:shd w:val="clear" w:color="auto" w:fill="FFFFFF"/>
            <w:vAlign w:val="center"/>
            <w:hideMark/>
          </w:tcPr>
          <w:p w:rsidR="001E0618" w:rsidRPr="00BC02C2" w:rsidRDefault="001E0618" w:rsidP="00BC02C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1E0618" w:rsidRPr="00BC02C2" w:rsidRDefault="001E0618" w:rsidP="00BC02C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ФБ*</w:t>
            </w: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1082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ФБ*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ФБ*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C02C2" w:rsidRPr="00BC02C2" w:rsidRDefault="001E0618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 </w:t>
            </w:r>
          </w:p>
        </w:tc>
      </w:tr>
      <w:tr w:rsidR="001E0618" w:rsidRPr="00BC02C2" w:rsidTr="00B900A3">
        <w:tc>
          <w:tcPr>
            <w:tcW w:w="299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2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C02C2" w:rsidRPr="00BC02C2" w:rsidRDefault="001E0618" w:rsidP="00420EA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</w:pPr>
            <w:r w:rsidRPr="00BC02C2">
              <w:rPr>
                <w:rFonts w:ascii="Times New Roman" w:eastAsia="Times New Roman" w:hAnsi="Times New Roman" w:cs="Times New Roman"/>
                <w:b/>
                <w:color w:val="282828"/>
                <w:sz w:val="20"/>
                <w:szCs w:val="20"/>
                <w:lang w:eastAsia="ru-RU"/>
              </w:rPr>
              <w:t>18</w:t>
            </w:r>
          </w:p>
        </w:tc>
      </w:tr>
      <w:tr w:rsidR="00B900A3" w:rsidRPr="00BC02C2" w:rsidTr="00B900A3">
        <w:trPr>
          <w:trHeight w:val="486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депутатам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49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Аппарат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2,0</w:t>
            </w:r>
          </w:p>
        </w:tc>
      </w:tr>
      <w:tr w:rsidR="00B900A3" w:rsidRPr="00BC02C2" w:rsidTr="00B900A3">
        <w:trPr>
          <w:trHeight w:val="349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56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  Аппарат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375,8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375,8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375,5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375,5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0,3</w:t>
            </w:r>
          </w:p>
        </w:tc>
      </w:tr>
      <w:tr w:rsidR="00B900A3" w:rsidRPr="00BC02C2" w:rsidTr="00B900A3">
        <w:trPr>
          <w:trHeight w:val="350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13,4</w:t>
            </w:r>
          </w:p>
        </w:tc>
      </w:tr>
      <w:tr w:rsidR="00B900A3" w:rsidRPr="00BC02C2" w:rsidTr="00B900A3">
        <w:trPr>
          <w:trHeight w:val="350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7,0</w:t>
            </w:r>
          </w:p>
        </w:tc>
      </w:tr>
      <w:tr w:rsidR="00B900A3" w:rsidRPr="00BC02C2" w:rsidTr="00B900A3">
        <w:trPr>
          <w:trHeight w:val="350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5,0</w:t>
            </w:r>
          </w:p>
        </w:tc>
      </w:tr>
      <w:tr w:rsidR="00B900A3" w:rsidRPr="00BC02C2" w:rsidTr="00B900A3">
        <w:tc>
          <w:tcPr>
            <w:tcW w:w="299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 8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7,5</w:t>
            </w:r>
          </w:p>
        </w:tc>
      </w:tr>
      <w:tr w:rsidR="00B900A3" w:rsidRPr="00BC02C2" w:rsidTr="00B900A3">
        <w:trPr>
          <w:trHeight w:val="356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5,0</w:t>
            </w:r>
          </w:p>
        </w:tc>
      </w:tr>
      <w:tr w:rsidR="00B900A3" w:rsidRPr="00BC02C2" w:rsidTr="00B900A3">
        <w:tc>
          <w:tcPr>
            <w:tcW w:w="299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66,0</w:t>
            </w:r>
          </w:p>
        </w:tc>
      </w:tr>
      <w:tr w:rsidR="00B900A3" w:rsidRPr="00BC02C2" w:rsidTr="00B900A3">
        <w:tc>
          <w:tcPr>
            <w:tcW w:w="299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67</w:t>
            </w:r>
          </w:p>
        </w:tc>
      </w:tr>
      <w:tr w:rsidR="00B900A3" w:rsidRPr="00BC02C2" w:rsidTr="00B900A3">
        <w:trPr>
          <w:trHeight w:val="226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39,3</w:t>
            </w:r>
          </w:p>
        </w:tc>
      </w:tr>
      <w:tr w:rsidR="00B900A3" w:rsidRPr="00BC02C2" w:rsidTr="00B900A3">
        <w:tc>
          <w:tcPr>
            <w:tcW w:w="299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2,0</w:t>
            </w:r>
          </w:p>
        </w:tc>
      </w:tr>
      <w:tr w:rsidR="00B900A3" w:rsidRPr="00BC02C2" w:rsidTr="00B900A3">
        <w:trPr>
          <w:trHeight w:val="412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8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1,0</w:t>
            </w:r>
          </w:p>
        </w:tc>
      </w:tr>
      <w:tr w:rsidR="00B900A3" w:rsidRPr="00BC02C2" w:rsidTr="00B900A3">
        <w:tc>
          <w:tcPr>
            <w:tcW w:w="299" w:type="dxa"/>
            <w:shd w:val="clear" w:color="auto" w:fill="FFFFFF"/>
            <w:vAlign w:val="center"/>
            <w:hideMark/>
          </w:tcPr>
          <w:p w:rsidR="00B900A3" w:rsidRPr="00BC02C2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штрафы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BC02C2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C02C2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32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0,4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главы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473,7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473,7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8,0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 Глава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20,0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 Другие общегосударственные вопросы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услуги по содержанию имущества Другие общегосударственные вопросы 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159,4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 Другие общегосударственные вопросы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3,1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 Другие общегосударственные вопросы 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0,0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расходы Другие общегосударственные вопросы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</w:t>
            </w: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</w:t>
            </w: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41,2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Увеличение стоимости материальных запасов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hideMark/>
          </w:tcPr>
          <w:p w:rsidR="00B900A3" w:rsidRPr="00B900A3" w:rsidRDefault="00B900A3" w:rsidP="00420EA4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shd w:val="clear" w:color="auto" w:fill="FFFFFF"/>
            <w:hideMark/>
          </w:tcPr>
          <w:p w:rsidR="00B900A3" w:rsidRPr="00B900A3" w:rsidRDefault="00B900A3" w:rsidP="00CD3D91">
            <w:pPr>
              <w:spacing w:after="0" w:line="240" w:lineRule="auto"/>
              <w:ind w:firstLine="0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6,25</w:t>
            </w:r>
          </w:p>
        </w:tc>
      </w:tr>
      <w:tr w:rsidR="00B900A3" w:rsidRPr="00BC02C2" w:rsidTr="00B900A3">
        <w:trPr>
          <w:trHeight w:val="338"/>
        </w:trPr>
        <w:tc>
          <w:tcPr>
            <w:tcW w:w="299" w:type="dxa"/>
            <w:shd w:val="clear" w:color="auto" w:fill="FFFFFF"/>
            <w:vAlign w:val="center"/>
            <w:hideMark/>
          </w:tcPr>
          <w:p w:rsidR="00B900A3" w:rsidRPr="001E0618" w:rsidRDefault="00B900A3" w:rsidP="001E0618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FFFFFF"/>
            <w:hideMark/>
          </w:tcPr>
          <w:p w:rsidR="00B900A3" w:rsidRPr="001E0618" w:rsidRDefault="00B900A3" w:rsidP="00420EA4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FFFFFF"/>
            <w:vAlign w:val="center"/>
            <w:hideMark/>
          </w:tcPr>
          <w:p w:rsidR="00B900A3" w:rsidRPr="001E0618" w:rsidRDefault="00B900A3" w:rsidP="00BC02C2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8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7, 3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  <w:hideMark/>
          </w:tcPr>
          <w:p w:rsidR="00B900A3" w:rsidRPr="001E0618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7, 3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22,7</w:t>
            </w:r>
          </w:p>
        </w:tc>
      </w:tr>
    </w:tbl>
    <w:p w:rsidR="00930E75" w:rsidRPr="00BC02C2" w:rsidRDefault="00930E75">
      <w:pPr>
        <w:rPr>
          <w:rFonts w:ascii="Times New Roman" w:hAnsi="Times New Roman" w:cs="Times New Roman"/>
          <w:sz w:val="24"/>
          <w:szCs w:val="24"/>
        </w:rPr>
      </w:pPr>
    </w:p>
    <w:sectPr w:rsidR="00930E75" w:rsidRPr="00BC02C2" w:rsidSect="00B900A3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B6F"/>
    <w:multiLevelType w:val="multilevel"/>
    <w:tmpl w:val="2B420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004A"/>
    <w:multiLevelType w:val="multilevel"/>
    <w:tmpl w:val="9096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C02C2"/>
    <w:rsid w:val="001E0618"/>
    <w:rsid w:val="00420EA4"/>
    <w:rsid w:val="006E4EA3"/>
    <w:rsid w:val="008F5AB1"/>
    <w:rsid w:val="00930E75"/>
    <w:rsid w:val="00B900A3"/>
    <w:rsid w:val="00BC02C2"/>
    <w:rsid w:val="00C9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4" w:lineRule="exact"/>
        <w:ind w:firstLine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2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zabolotie</dc:creator>
  <cp:lastModifiedBy>zabolotie</cp:lastModifiedBy>
  <cp:revision>2</cp:revision>
  <cp:lastPrinted>2019-04-04T10:31:00Z</cp:lastPrinted>
  <dcterms:created xsi:type="dcterms:W3CDTF">2020-05-18T06:39:00Z</dcterms:created>
  <dcterms:modified xsi:type="dcterms:W3CDTF">2020-05-18T06:39:00Z</dcterms:modified>
</cp:coreProperties>
</file>