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BD" w:rsidRPr="00C87AE3" w:rsidRDefault="008D53BD" w:rsidP="008D53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D53BD" w:rsidRPr="00C87AE3" w:rsidRDefault="008D53BD" w:rsidP="008D53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3BD" w:rsidRDefault="008D53BD" w:rsidP="008D53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20.11.</w:t>
      </w:r>
      <w:r w:rsidRPr="00C87AE3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№ 32</w:t>
      </w:r>
    </w:p>
    <w:p w:rsidR="008D53BD" w:rsidRDefault="008D53BD" w:rsidP="008D53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4E2D" w:rsidRPr="00C87AE3" w:rsidRDefault="00C34E2D" w:rsidP="008D53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87E0F" w:rsidRDefault="00387E0F" w:rsidP="00C34E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«Об установлении системы оплаты труда</w:t>
      </w:r>
      <w:r w:rsidR="00C3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работников, замещающих должности, не отнесенные к должностям</w:t>
      </w:r>
      <w:r w:rsidR="00C3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службы,  и  осуществляющих техническое</w:t>
      </w:r>
      <w:r w:rsidR="00C3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сельского поселения «</w:t>
      </w:r>
      <w:r w:rsidR="00C34E2D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персонала»</w:t>
      </w: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33B5D">
          <w:rPr>
            <w:rStyle w:val="a3"/>
            <w:rFonts w:ascii="Times New Roman" w:hAnsi="Times New Roman" w:cs="Times New Roman"/>
            <w:sz w:val="24"/>
            <w:szCs w:val="24"/>
          </w:rPr>
          <w:t>ст. 135</w:t>
        </w:r>
      </w:hyperlink>
      <w:r w:rsidRPr="00733B5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33B5D">
          <w:rPr>
            <w:rStyle w:val="a3"/>
            <w:rFonts w:ascii="Times New Roman" w:hAnsi="Times New Roman" w:cs="Times New Roman"/>
            <w:sz w:val="24"/>
            <w:szCs w:val="24"/>
          </w:rPr>
          <w:t>144</w:t>
        </w:r>
      </w:hyperlink>
      <w:r w:rsidRPr="0073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Закона Калужской области от 29.06.2012 года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</w:t>
      </w:r>
      <w:r w:rsidRPr="00733B5D">
        <w:rPr>
          <w:rFonts w:ascii="Times New Roman" w:hAnsi="Times New Roman" w:cs="Times New Roman"/>
          <w:sz w:val="24"/>
          <w:szCs w:val="24"/>
        </w:rPr>
        <w:t>области,</w:t>
      </w:r>
      <w:r w:rsidR="00F96FA2" w:rsidRPr="00733B5D">
        <w:rPr>
          <w:rFonts w:ascii="Times New Roman" w:hAnsi="Times New Roman" w:cs="Times New Roman"/>
          <w:sz w:val="24"/>
          <w:szCs w:val="24"/>
        </w:rPr>
        <w:t xml:space="preserve"> </w:t>
      </w:r>
      <w:r w:rsidRPr="00733B5D">
        <w:rPr>
          <w:rFonts w:ascii="Times New Roman" w:hAnsi="Times New Roman" w:cs="Times New Roman"/>
          <w:sz w:val="24"/>
          <w:szCs w:val="24"/>
        </w:rPr>
        <w:t xml:space="preserve">ст. </w:t>
      </w:r>
      <w:r w:rsidR="00733B5D" w:rsidRPr="00733B5D">
        <w:rPr>
          <w:rFonts w:ascii="Times New Roman" w:hAnsi="Times New Roman" w:cs="Times New Roman"/>
          <w:sz w:val="24"/>
          <w:szCs w:val="24"/>
        </w:rPr>
        <w:t>45</w:t>
      </w:r>
      <w:r w:rsidRPr="00733B5D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в целях упорядочения оплаты труда и повышения социальной защищенности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», Сельская Дума</w:t>
      </w:r>
    </w:p>
    <w:p w:rsidR="00387E0F" w:rsidRPr="00F96FA2" w:rsidRDefault="00387E0F" w:rsidP="00387E0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A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r w:rsidR="00F96FA2">
        <w:rPr>
          <w:rFonts w:ascii="Times New Roman" w:hAnsi="Times New Roman" w:cs="Times New Roman"/>
          <w:b w:val="0"/>
          <w:sz w:val="24"/>
          <w:szCs w:val="24"/>
        </w:rPr>
        <w:t>Деревня Манино</w:t>
      </w:r>
      <w:r>
        <w:rPr>
          <w:rFonts w:ascii="Times New Roman" w:hAnsi="Times New Roman" w:cs="Times New Roman"/>
          <w:b w:val="0"/>
          <w:sz w:val="24"/>
          <w:szCs w:val="24"/>
        </w:rPr>
        <w:t>» и младшего обслуживающего персонала» (прилагается).</w:t>
      </w: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решение СД от </w:t>
      </w:r>
      <w:r w:rsidR="00417E5B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октября 2019 года № 2</w:t>
      </w:r>
      <w:r w:rsidR="00101FAC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b w:val="0"/>
          <w:sz w:val="24"/>
          <w:szCs w:val="24"/>
        </w:rPr>
        <w:t>Деревня Манино</w:t>
      </w:r>
      <w:r>
        <w:rPr>
          <w:rFonts w:ascii="Times New Roman" w:hAnsi="Times New Roman" w:cs="Times New Roman"/>
          <w:b w:val="0"/>
          <w:sz w:val="24"/>
          <w:szCs w:val="24"/>
        </w:rPr>
        <w:t>», и младшего обслуживающего персонала».</w:t>
      </w:r>
    </w:p>
    <w:p w:rsidR="00387E0F" w:rsidRDefault="00387E0F" w:rsidP="00387E0F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с момента  официального опубликования и распространяется на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правоотношения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возникшие с 01 июля 2024 года.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87E0F" w:rsidRPr="00101FAC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FAC">
        <w:rPr>
          <w:rFonts w:ascii="Times New Roman" w:hAnsi="Times New Roman" w:cs="Times New Roman"/>
          <w:b/>
          <w:bCs/>
          <w:sz w:val="24"/>
          <w:szCs w:val="24"/>
        </w:rPr>
        <w:t>Глава сельского поселения  «</w:t>
      </w:r>
      <w:r w:rsidR="00F96FA2" w:rsidRPr="00101FAC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proofErr w:type="gramStart"/>
      <w:r w:rsidR="00F96FA2" w:rsidRPr="00101FAC">
        <w:rPr>
          <w:rFonts w:ascii="Times New Roman" w:hAnsi="Times New Roman" w:cs="Times New Roman"/>
          <w:b/>
          <w:bCs/>
          <w:sz w:val="24"/>
          <w:szCs w:val="24"/>
        </w:rPr>
        <w:t>Манино</w:t>
      </w:r>
      <w:proofErr w:type="gramEnd"/>
      <w:r w:rsidRPr="00101FA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01F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FA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1E127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01F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Par33"/>
      <w:bookmarkEnd w:id="0"/>
      <w:r w:rsidR="00101FAC" w:rsidRPr="00101FAC">
        <w:rPr>
          <w:rFonts w:ascii="Times New Roman" w:hAnsi="Times New Roman" w:cs="Times New Roman"/>
          <w:b/>
          <w:bCs/>
          <w:sz w:val="24"/>
          <w:szCs w:val="24"/>
        </w:rPr>
        <w:t>Ю.В.Симаков</w:t>
      </w:r>
    </w:p>
    <w:p w:rsidR="00387E0F" w:rsidRPr="00101FAC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Думы</w:t>
      </w: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от 20.11.2024  №</w:t>
      </w:r>
      <w:r w:rsidR="00CF4553">
        <w:rPr>
          <w:rFonts w:ascii="Times New Roman" w:hAnsi="Times New Roman" w:cs="Times New Roman"/>
        </w:rPr>
        <w:t xml:space="preserve"> 32</w:t>
      </w: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персонала»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87E0F" w:rsidRDefault="00387E0F" w:rsidP="00387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 xml:space="preserve">», и младшего обслуживающего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окладов и выплат компенсационного и стимулирующего характера.</w:t>
      </w:r>
      <w:proofErr w:type="gramEnd"/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размеры окладов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Положению.</w:t>
      </w: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размеры окладов младшего обслуживающего персонала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 согласно приложению № 2 к настоящему Положению.</w:t>
      </w: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 согласно приложению № 3 к настоящему Положению.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1.5.Установить виды, условия применения и размеры выплат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 согласно приложению № 4 к настоящему Положению.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Установить, что при формировании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 на календарный год предусматриваются средства в размере 43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и младшего обслуживающего персонала, предусматриваемый в местном бюджете, не подлежит уменьшению.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», направляется на выплаты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 xml:space="preserve">» и младшему обслуживающему персоналу. </w:t>
      </w:r>
      <w:proofErr w:type="gramEnd"/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="00F96FA2"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387E0F" w:rsidP="00387E0F">
      <w:pPr>
        <w:pStyle w:val="ConsPlusTitle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сельского поселения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6FA2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63"/>
        <w:gridCol w:w="2693"/>
      </w:tblGrid>
      <w:tr w:rsidR="00387E0F" w:rsidTr="00387E0F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387E0F" w:rsidTr="00387E0F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</w:tbl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 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>Деревня Манино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387E0F" w:rsidRDefault="00387E0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младшего обслуживающего персонала администрации сельского поселения «</w:t>
      </w:r>
      <w:r w:rsidR="00F96FA2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F96FA2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8934"/>
        <w:gridCol w:w="1134"/>
      </w:tblGrid>
      <w:tr w:rsidR="00387E0F" w:rsidTr="00387E0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7" w:history="1">
              <w:r>
                <w:rPr>
                  <w:rStyle w:val="a3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Размеры </w:t>
            </w:r>
            <w:r>
              <w:rPr>
                <w:rFonts w:ascii="Times New Roman" w:hAnsi="Times New Roman" w:cs="Times New Roman"/>
              </w:rPr>
              <w:br/>
              <w:t>окладов,</w:t>
            </w:r>
            <w:r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387E0F" w:rsidTr="00387E0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«Общеотраслевые должности служащих  первого уровня»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6354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</w:tr>
      <w:tr w:rsidR="00387E0F" w:rsidTr="00387E0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6678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7793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</w:tbl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387E0F" w:rsidTr="00387E0F">
        <w:tc>
          <w:tcPr>
            <w:tcW w:w="10632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8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«Об утверждении профессиональных квалификационных групп общеотраслевых должностей руководителей, специалистов и служащих», </w:t>
            </w:r>
            <w:hyperlink r:id="rId9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«Об утверждении профессиональных квалификационных групп общеотраслевых профессий рабочих».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0" w:history="1">
              <w:r>
                <w:rPr>
                  <w:rStyle w:val="a3"/>
                  <w:sz w:val="16"/>
                  <w:szCs w:val="16"/>
                </w:rPr>
                <w:t>раздела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1" w:history="1">
              <w:r>
                <w:rPr>
                  <w:rStyle w:val="a3"/>
                  <w:sz w:val="16"/>
                  <w:szCs w:val="16"/>
                </w:rPr>
                <w:t>разделом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уровня», решается работодателем по согласованию с представительным органом работников с учетом квалификации, объема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387E0F" w:rsidRDefault="00387E0F" w:rsidP="00387E0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="00F96FA2"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387E0F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sz w:val="24"/>
          <w:szCs w:val="24"/>
        </w:rPr>
        <w:t>» и младшего обслуживающего персонала»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 компенсационного характера и их размер: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Выплаты работникам, за применение в работе дезинфицирующих и токсичных средств устанавливаются в размере 10%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Выплаты за работу в условиях, отклоняющихся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нормальных, в том числе: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работ различных квалификаций,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 с учетом их содержания и (или) объема.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 выплаты производятся в соответствии с действующим законодательством;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сельского поселения «</w:t>
            </w:r>
            <w:r w:rsidR="00F96FA2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="00F96FA2"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387E0F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деятельности администрации сельского поселения «</w:t>
      </w:r>
      <w:r w:rsidR="00F96FA2">
        <w:rPr>
          <w:rFonts w:ascii="Times New Roman" w:hAnsi="Times New Roman" w:cs="Times New Roman"/>
          <w:b/>
          <w:sz w:val="24"/>
          <w:szCs w:val="24"/>
        </w:rPr>
        <w:t>Деревня Манино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jc w:val="center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I.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Выплаты стимулирующего характера работникам,  замещающим должности, не отнесенные к должностям муниципальной службы, и осуществляющим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техническое</w:t>
      </w:r>
      <w:proofErr w:type="gramEnd"/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муниципального района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 (далее работники)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выплатам стимулирующего характера работникам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Условия применения и размеры стимулирующих выплат работникам.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Надбавка за сложность и напряженность в работе устанавливается работникам, в размере до 250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сложность и напряженность в работе выплачивается работникам за фактически отработанное время.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устанавливаются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договорам, локальными нормативными актами работодателя.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Ежемесячная надбавка к окладу за выслугу лет устанавливается работникам</w:t>
      </w:r>
      <w:r w:rsidR="00E04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8 лет              - 10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23 лет             - 30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2" w:history="1">
        <w:r>
          <w:rPr>
            <w:rStyle w:val="a3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окладу за выслугу лет».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 Денежное поощрение за безупречную и эффективную работу, другие достижения в труде работникам, устанавливается ежемесячно в размере до 250 процентов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Премирование работников,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выплачивается в соответствии с размерами, установленными главой администрации,  по распоряжению </w:t>
      </w:r>
      <w:r w:rsidR="00F22BC2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22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Единовременная выплата работникам,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1.2.7. Материальная помощь работникам,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В случае смерти работника, замещающего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II. Выплаты стимулирующего характера</w:t>
      </w:r>
    </w:p>
    <w:p w:rsidR="000D5D6C" w:rsidRDefault="00387E0F" w:rsidP="000D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младшему обслуживающему персоналу администрации</w:t>
      </w:r>
    </w:p>
    <w:p w:rsidR="000D5D6C" w:rsidRPr="000D5D6C" w:rsidRDefault="00387E0F" w:rsidP="000D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6C" w:rsidRPr="000D5D6C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gramStart"/>
      <w:r w:rsidR="000D5D6C" w:rsidRPr="000D5D6C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="000D5D6C" w:rsidRPr="000D5D6C">
        <w:rPr>
          <w:rFonts w:ascii="Times New Roman" w:hAnsi="Times New Roman" w:cs="Times New Roman"/>
          <w:sz w:val="24"/>
          <w:szCs w:val="24"/>
        </w:rPr>
        <w:t>»</w:t>
      </w:r>
    </w:p>
    <w:p w:rsidR="00387E0F" w:rsidRDefault="00387E0F" w:rsidP="000D5D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выплатам стимулирующего характера младшего обслуживающего персонала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 младшего обслуживающего персонала: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Надбавка за интенсивность и высокие результаты работы устанавливается младшему обслуживающему персоналу ежемесячно в размере до 250 %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интенсивность и высокие результаты работы выплачивается младшему обслуживающему персоналу за фактически отработанное время.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устанавливается распоряжением администрации ежемесячно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Надбавка водителям автомобилей за безаварийную эксплуатацию автомобиля устанавливается в размере до 200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водителям автомобилей за безаварийную эксплуатацию автомобиля 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дбавки конкретному работнику и период ее выплаты.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Премирование младшего обслуживающего персонала производится по результатам работы,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</w:t>
      </w:r>
      <w:r w:rsidR="0011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</w:t>
      </w:r>
      <w:r w:rsidR="00112E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выплачивается в соответствии с размерами, установленными главой администрации,  по распоряжению </w:t>
      </w:r>
      <w:r w:rsidR="00585462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854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Единовременная выплата младшему обслуживающему персоналу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Материальная помощь младшему обслуживающему персоналу,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 устанавливается младшему обслуживающему персоналу ежемесячно в размере до 200 %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установления денежного поощрения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387E0F" w:rsidRDefault="00387E0F" w:rsidP="00387E0F"/>
    <w:p w:rsidR="006B4AC5" w:rsidRDefault="006B4AC5"/>
    <w:sectPr w:rsidR="006B4AC5" w:rsidSect="00C6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87E0F"/>
    <w:rsid w:val="00026D10"/>
    <w:rsid w:val="000D5D6C"/>
    <w:rsid w:val="00101FAC"/>
    <w:rsid w:val="00112E0C"/>
    <w:rsid w:val="001E127A"/>
    <w:rsid w:val="00387E0F"/>
    <w:rsid w:val="00405EA5"/>
    <w:rsid w:val="00417E5B"/>
    <w:rsid w:val="0043291B"/>
    <w:rsid w:val="00483D4D"/>
    <w:rsid w:val="00533199"/>
    <w:rsid w:val="00585462"/>
    <w:rsid w:val="0068004B"/>
    <w:rsid w:val="006B4AC5"/>
    <w:rsid w:val="00733B5D"/>
    <w:rsid w:val="008D53BD"/>
    <w:rsid w:val="00A86146"/>
    <w:rsid w:val="00B642BA"/>
    <w:rsid w:val="00C34E2D"/>
    <w:rsid w:val="00C602B0"/>
    <w:rsid w:val="00CF4553"/>
    <w:rsid w:val="00E04993"/>
    <w:rsid w:val="00F22BC2"/>
    <w:rsid w:val="00F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0"/>
  </w:style>
  <w:style w:type="paragraph" w:styleId="1">
    <w:name w:val="heading 1"/>
    <w:basedOn w:val="a"/>
    <w:next w:val="a"/>
    <w:link w:val="10"/>
    <w:qFormat/>
    <w:rsid w:val="00387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E0F"/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styleId="a3">
    <w:name w:val="Hyperlink"/>
    <w:basedOn w:val="a0"/>
    <w:uiPriority w:val="99"/>
    <w:semiHidden/>
    <w:unhideWhenUsed/>
    <w:rsid w:val="00387E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7E0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387E0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5">
    <w:name w:val="Table Grid"/>
    <w:basedOn w:val="a1"/>
    <w:uiPriority w:val="59"/>
    <w:rsid w:val="00387E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6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03B6872E73C459837843DDC9BCA21BF96A83U15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E02DE9362C608D4F31DBB91422DCA568C2748DCC6E8FA4BFF3DDC440DA838D45F0C95D9C841C2F221B8UC59J" TargetMode="External"/><Relationship Id="rId12" Type="http://schemas.openxmlformats.org/officeDocument/2006/relationships/hyperlink" Target="consultantplus://offline/ref=296BE9260734E14E0E37CA0F27B9025A1688EAFF69FE4E29C164D1B84Bu9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5m1N1P" TargetMode="External"/><Relationship Id="rId11" Type="http://schemas.openxmlformats.org/officeDocument/2006/relationships/hyperlink" Target="consultantplus://offline/ref=61DE02DE9362C608D4F31DBB91422DCA568C2748DCC6E8FA4BFF3DDC440DA838D45F0C95D9C841C2F221B8UC5BJ" TargetMode="External"/><Relationship Id="rId5" Type="http://schemas.openxmlformats.org/officeDocument/2006/relationships/hyperlink" Target="consultantplus://offline/ref=D400E486BC4AD7D56080AD3739051DFE9700FE50339726EED850B3F21F9A81F8FD4E344519m1N5P" TargetMode="External"/><Relationship Id="rId10" Type="http://schemas.openxmlformats.org/officeDocument/2006/relationships/hyperlink" Target="consultantplus://offline/ref=61DE02DE9362C608D4F31DBB91422DCA568C2748DCC6E8FA4BFF3DDC440DA838D45F0C95D9C841C2F221B8UC5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03B6872E73C4568E7C42D9C9BCA21BF96A83U15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3110</Words>
  <Characters>17727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2024-11-27T06:28:00Z</dcterms:created>
  <dcterms:modified xsi:type="dcterms:W3CDTF">2024-11-29T07:38:00Z</dcterms:modified>
</cp:coreProperties>
</file>