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ДУМА ЛЮДИНОВСКОГО МУНИЦИПАЛЬНОГО ОКРУГА 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A9F" w:rsidRPr="0045329B" w:rsidRDefault="00C70A9F" w:rsidP="00453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4362E" w:rsidRPr="0094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23.09.</w:t>
      </w: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 г.                                                                                            </w:t>
      </w:r>
      <w:r w:rsidR="0094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453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4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53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0A9F" w:rsidRPr="0045329B" w:rsidRDefault="00C70A9F" w:rsidP="00453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179" w:rsidRPr="0045329B" w:rsidRDefault="00546179" w:rsidP="004532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546179" w:rsidRPr="0045329B">
        <w:tc>
          <w:tcPr>
            <w:tcW w:w="5637" w:type="dxa"/>
          </w:tcPr>
          <w:p w:rsidR="00546179" w:rsidRPr="0045329B" w:rsidRDefault="00C15D38" w:rsidP="004532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9B">
              <w:rPr>
                <w:rFonts w:ascii="Times New Roman" w:hAnsi="Times New Roman" w:cs="Times New Roman"/>
                <w:b/>
                <w:sz w:val="24"/>
                <w:szCs w:val="24"/>
              </w:rPr>
              <w:t>Об отдельных вопросах правопреемства органов местног</w:t>
            </w:r>
            <w:r w:rsidR="00C70A9F" w:rsidRPr="0045329B">
              <w:rPr>
                <w:rFonts w:ascii="Times New Roman" w:hAnsi="Times New Roman" w:cs="Times New Roman"/>
                <w:b/>
                <w:sz w:val="24"/>
                <w:szCs w:val="24"/>
              </w:rPr>
              <w:t>о самоуправления Людиновского</w:t>
            </w:r>
            <w:r w:rsidRPr="00453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4216" w:type="dxa"/>
          </w:tcPr>
          <w:p w:rsidR="00546179" w:rsidRPr="0045329B" w:rsidRDefault="00546179" w:rsidP="004532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179" w:rsidRPr="0045329B" w:rsidRDefault="00546179" w:rsidP="0045329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9B" w:rsidRDefault="00C15D38" w:rsidP="0045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9B">
        <w:rPr>
          <w:rFonts w:ascii="Times New Roman" w:hAnsi="Times New Roman" w:cs="Times New Roman"/>
          <w:sz w:val="24"/>
          <w:szCs w:val="24"/>
        </w:rPr>
        <w:t xml:space="preserve">На основании статьи 13 Федерального закона от 20.03.2025 № 33-ФЗ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Pr="0045329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sz w:val="24"/>
          <w:szCs w:val="24"/>
        </w:rPr>
        <w:t xml:space="preserve">, </w:t>
      </w:r>
      <w:r w:rsidRPr="0045329B">
        <w:rPr>
          <w:rFonts w:ascii="Times New Roman" w:eastAsia="Calibri" w:hAnsi="Times New Roman" w:cs="Times New Roman"/>
          <w:sz w:val="24"/>
          <w:szCs w:val="24"/>
        </w:rPr>
        <w:t xml:space="preserve">статьи 3 Закона Калужской области </w:t>
      </w:r>
      <w:r w:rsidR="00C70A9F" w:rsidRPr="0045329B">
        <w:rPr>
          <w:rFonts w:ascii="Times New Roman" w:hAnsi="Times New Roman" w:cs="Times New Roman"/>
          <w:sz w:val="24"/>
          <w:szCs w:val="24"/>
        </w:rPr>
        <w:t>от 25.10.2024 № 548</w:t>
      </w:r>
      <w:r w:rsidRPr="0045329B">
        <w:rPr>
          <w:rFonts w:ascii="Times New Roman" w:hAnsi="Times New Roman" w:cs="Times New Roman"/>
          <w:sz w:val="24"/>
          <w:szCs w:val="24"/>
        </w:rPr>
        <w:t xml:space="preserve">-ОЗ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Pr="0045329B">
        <w:rPr>
          <w:rFonts w:ascii="Times New Roman" w:hAnsi="Times New Roman" w:cs="Times New Roman"/>
          <w:sz w:val="24"/>
          <w:szCs w:val="24"/>
        </w:rPr>
        <w:t>О преобразовании всех поселений, входящих в состав муниц</w:t>
      </w:r>
      <w:r w:rsidR="00C70A9F" w:rsidRPr="0045329B">
        <w:rPr>
          <w:rFonts w:ascii="Times New Roman" w:hAnsi="Times New Roman" w:cs="Times New Roman"/>
          <w:sz w:val="24"/>
          <w:szCs w:val="24"/>
        </w:rPr>
        <w:t xml:space="preserve">ипального района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="00C70A9F" w:rsidRPr="0045329B"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4532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sz w:val="24"/>
          <w:szCs w:val="24"/>
        </w:rPr>
        <w:t xml:space="preserve">, руководствуясь Гражданским кодексом Российской Федерации </w:t>
      </w:r>
      <w:r w:rsidRPr="0045329B">
        <w:rPr>
          <w:rFonts w:ascii="Times New Roman" w:eastAsia="Calibri" w:hAnsi="Times New Roman" w:cs="Times New Roman"/>
          <w:sz w:val="24"/>
          <w:szCs w:val="24"/>
        </w:rPr>
        <w:t xml:space="preserve">Дума </w:t>
      </w:r>
      <w:r w:rsidR="00C70A9F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45329B">
        <w:rPr>
          <w:rFonts w:ascii="Times New Roman" w:eastAsia="Calibri" w:hAnsi="Times New Roman" w:cs="Times New Roman"/>
          <w:sz w:val="24"/>
          <w:szCs w:val="24"/>
        </w:rPr>
        <w:t xml:space="preserve"> Калужской области </w:t>
      </w:r>
      <w:r w:rsidR="005670FB" w:rsidRPr="0045329B">
        <w:rPr>
          <w:rFonts w:ascii="Times New Roman" w:hAnsi="Times New Roman" w:cs="Times New Roman"/>
          <w:b/>
          <w:sz w:val="24"/>
          <w:szCs w:val="24"/>
        </w:rPr>
        <w:t>РЕШИЛА</w:t>
      </w:r>
      <w:r w:rsidRPr="0045329B">
        <w:rPr>
          <w:rFonts w:ascii="Times New Roman" w:hAnsi="Times New Roman" w:cs="Times New Roman"/>
          <w:b/>
          <w:sz w:val="24"/>
          <w:szCs w:val="24"/>
        </w:rPr>
        <w:t>:</w:t>
      </w:r>
    </w:p>
    <w:p w:rsidR="0045329B" w:rsidRDefault="00C70A9F" w:rsidP="0045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1. Дума Людиновского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 является правопреемником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Людиновского Районного Собрания, 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Городской Думы городского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Город Людиново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</w:t>
      </w:r>
    </w:p>
    <w:p w:rsidR="0045329B" w:rsidRDefault="00C15D38" w:rsidP="0045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2</w:t>
      </w:r>
      <w:r w:rsidR="00C70A9F" w:rsidRPr="0045329B">
        <w:rPr>
          <w:rFonts w:ascii="Times New Roman" w:hAnsi="Times New Roman" w:cs="Times New Roman"/>
          <w:bCs/>
          <w:w w:val="105"/>
          <w:sz w:val="24"/>
          <w:szCs w:val="24"/>
        </w:rPr>
        <w:t>. Глава Людиновского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 являет</w:t>
      </w:r>
      <w:r w:rsidR="00C70A9F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ся правопреемником Главы муниципального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C70A9F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="00C70A9F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, Главы городского  поселения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C70A9F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="00BD53C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, 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 Главы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Главы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Главы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Главы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Главы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лицами.</w:t>
      </w:r>
    </w:p>
    <w:p w:rsidR="0045329B" w:rsidRDefault="00C15D38" w:rsidP="0045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3. Админист</w:t>
      </w:r>
      <w:r w:rsidR="00BD53C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рация Людиновского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муниципального округа Калужской области является правопреемником </w:t>
      </w:r>
      <w:r w:rsidR="00BD53C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Администрации муниципального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BD53C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="00BD53C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,  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3CA" w:rsidRPr="0045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лицами, в том числе в части имущественных и неимущественных прав и обязанностей, судебных актов, исполнительных производств.</w:t>
      </w:r>
    </w:p>
    <w:p w:rsidR="00546179" w:rsidRPr="0045329B" w:rsidRDefault="00BD53CA" w:rsidP="0045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4. Контрольно-счетная палата Людиновского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>муниципального округа Калужской о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бласти является правопреемником контрольно-счетной палаты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 му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ниципального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в отношениях с органами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lastRenderedPageBreak/>
        <w:t xml:space="preserve">государственной власти Российской Федерации, органами государственной власти субъектов Российской Федерации, органами местного самоуправления и должностными лицами местного самоуправления, физическими и юридическими лицами. 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5. 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Определить, что Дума Людиновского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муниципального округа Калужской области принимает решения о реорганизации: </w:t>
      </w:r>
    </w:p>
    <w:p w:rsidR="0052218A" w:rsidRPr="0045329B" w:rsidRDefault="0052218A" w:rsidP="004532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       5.1. Думы Людиновского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 путем присоединения к ней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Людиновского Районного Собрания, 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Городской Думы городского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Город Людиново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218A" w:rsidRPr="0045329B" w:rsidRDefault="0052218A" w:rsidP="0045329B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5.2. Администрации Людиновского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 путем присоединения к ней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Администрации муниципального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,  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18A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5.3.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Контрольно-счетной палаты Людиновского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ти путем присоединения к ней контрольно-счетной палаты   муниципального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6. Определить, что вопросы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правопреемства Думы Людиновского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муниципального округа Калужской облас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ти, администрации Людиновского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ьного округа Калужской области, контрольно-счетной палаты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 по отношению к присоединяемым к ним в рамках процедуры преобразования соответствующих органов местного самоуправления муницип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и 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городского  поселения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,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 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218A" w:rsidRPr="0045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(далее –преобразованные поселения, входящие в его состав), решаются в соответствии с Гражданским кодексом Российской Федерации в рамках универсального правопреемства.</w:t>
      </w:r>
    </w:p>
    <w:p w:rsidR="00546179" w:rsidRPr="0045329B" w:rsidRDefault="00C15D38" w:rsidP="0045329B">
      <w:pPr>
        <w:autoSpaceDE w:val="0"/>
        <w:autoSpaceDN w:val="0"/>
        <w:adjustRightInd w:val="0"/>
        <w:spacing w:after="0" w:line="240" w:lineRule="auto"/>
        <w:ind w:right="131" w:firstLine="483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7. Определить, что главы администраций преобразованных поселений, входящих в состав муниципального р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, продолжают исполнять свои полномочия, включая обеспечение реализации вопросов, связанных с реорганизацией органов местного самоуправления в соответствии с пунктами 5.1 и 5.2. настоящего решения.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8. Муниципальные правовые акты, принятые органами местного самоуправления  мун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и преобразованных поселений, входящих в его состав, изменяются, признаются утратившими силу (отменяются) органами местног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о самоуправления Людиновского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муниципального округа Калужской области, являющимися правопреемниками соответствующих органов местного самоуправления  муни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2218A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Город Людиново и Людиновский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и преобразованных поселений, входящих в его состав.</w:t>
      </w:r>
    </w:p>
    <w:p w:rsidR="00546179" w:rsidRPr="0045329B" w:rsidRDefault="00C15D38" w:rsidP="0045329B">
      <w:pPr>
        <w:pStyle w:val="aa"/>
        <w:spacing w:before="0" w:beforeAutospacing="0" w:after="0" w:afterAutospacing="0"/>
        <w:ind w:firstLine="540"/>
        <w:jc w:val="both"/>
      </w:pPr>
      <w:r w:rsidRPr="0045329B">
        <w:rPr>
          <w:bCs/>
          <w:w w:val="105"/>
        </w:rPr>
        <w:t>9. Определить, что имущество, в том числе земельные участки, находящиеся в собственности муниц</w:t>
      </w:r>
      <w:r w:rsidR="0052218A" w:rsidRPr="0045329B">
        <w:rPr>
          <w:bCs/>
          <w:w w:val="105"/>
        </w:rPr>
        <w:t xml:space="preserve">ипального района </w:t>
      </w:r>
      <w:r w:rsidR="0045329B">
        <w:rPr>
          <w:bCs/>
          <w:w w:val="105"/>
        </w:rPr>
        <w:t>«</w:t>
      </w:r>
      <w:r w:rsidR="0052218A" w:rsidRPr="0045329B">
        <w:rPr>
          <w:bCs/>
          <w:w w:val="105"/>
        </w:rPr>
        <w:t xml:space="preserve">Город Людиново и Людиновский </w:t>
      </w:r>
      <w:r w:rsidRPr="0045329B">
        <w:rPr>
          <w:bCs/>
          <w:w w:val="105"/>
        </w:rPr>
        <w:t xml:space="preserve"> район</w:t>
      </w:r>
      <w:r w:rsidR="0045329B">
        <w:rPr>
          <w:bCs/>
          <w:w w:val="105"/>
        </w:rPr>
        <w:t>»</w:t>
      </w:r>
      <w:r w:rsidRPr="0045329B">
        <w:rPr>
          <w:bCs/>
          <w:w w:val="105"/>
        </w:rPr>
        <w:t xml:space="preserve"> и преобразованных поселений, входящих в его состав,</w:t>
      </w:r>
      <w:r w:rsidR="003C4EF2">
        <w:rPr>
          <w:bCs/>
          <w:w w:val="105"/>
        </w:rPr>
        <w:t xml:space="preserve"> </w:t>
      </w:r>
      <w:r w:rsidRPr="0045329B">
        <w:rPr>
          <w:bCs/>
          <w:w w:val="105"/>
        </w:rPr>
        <w:t>являются</w:t>
      </w:r>
      <w:r w:rsidR="0052218A" w:rsidRPr="0045329B">
        <w:rPr>
          <w:bCs/>
          <w:w w:val="105"/>
        </w:rPr>
        <w:t xml:space="preserve"> собственностью Людиновского</w:t>
      </w:r>
      <w:r w:rsidRPr="0045329B">
        <w:rPr>
          <w:bCs/>
          <w:w w:val="105"/>
        </w:rPr>
        <w:t xml:space="preserve"> муниципального округа Калужской области и подлежат включению в реестр </w:t>
      </w:r>
      <w:r w:rsidRPr="0045329B">
        <w:t>муниципального иму</w:t>
      </w:r>
      <w:r w:rsidR="0052218A" w:rsidRPr="0045329B">
        <w:t xml:space="preserve">щества Людиновского </w:t>
      </w:r>
      <w:r w:rsidRPr="0045329B">
        <w:t>муниципального округа Калужской области в порядке, установленном уполномоченным Правительством Российской Федерации федеральным органом исполнительной власти.</w:t>
      </w:r>
    </w:p>
    <w:p w:rsidR="00546179" w:rsidRPr="0045329B" w:rsidRDefault="00C15D38" w:rsidP="0045329B">
      <w:pPr>
        <w:pStyle w:val="aa"/>
        <w:spacing w:before="0" w:beforeAutospacing="0" w:after="0" w:afterAutospacing="0"/>
        <w:ind w:firstLine="540"/>
        <w:jc w:val="both"/>
        <w:rPr>
          <w:bCs/>
          <w:w w:val="105"/>
        </w:rPr>
      </w:pPr>
      <w:r w:rsidRPr="0045329B">
        <w:rPr>
          <w:bCs/>
          <w:w w:val="105"/>
        </w:rPr>
        <w:t>10. Установить, ч</w:t>
      </w:r>
      <w:r w:rsidR="00AD3EBB" w:rsidRPr="0045329B">
        <w:rPr>
          <w:bCs/>
          <w:w w:val="105"/>
        </w:rPr>
        <w:t xml:space="preserve">то администрация Людиновского </w:t>
      </w:r>
      <w:r w:rsidRPr="0045329B">
        <w:rPr>
          <w:bCs/>
          <w:w w:val="105"/>
        </w:rPr>
        <w:t xml:space="preserve"> муниципального округа Калужской области </w:t>
      </w:r>
      <w:r w:rsidR="00AD3EBB" w:rsidRPr="0045329B">
        <w:rPr>
          <w:bCs/>
          <w:w w:val="105"/>
        </w:rPr>
        <w:t>осуществляе</w:t>
      </w:r>
      <w:r w:rsidRPr="0045329B">
        <w:rPr>
          <w:bCs/>
          <w:w w:val="105"/>
        </w:rPr>
        <w:t xml:space="preserve">т функции и полномочия учредителя учреждений, предприятий и организаций, ранее созданных органами местного самоуправления </w:t>
      </w:r>
      <w:r w:rsidRPr="0045329B">
        <w:rPr>
          <w:bCs/>
          <w:w w:val="105"/>
        </w:rPr>
        <w:lastRenderedPageBreak/>
        <w:t>муни</w:t>
      </w:r>
      <w:r w:rsidR="00AD3EBB" w:rsidRPr="0045329B">
        <w:rPr>
          <w:bCs/>
          <w:w w:val="105"/>
        </w:rPr>
        <w:t xml:space="preserve">ципального района </w:t>
      </w:r>
      <w:r w:rsidR="0045329B">
        <w:rPr>
          <w:bCs/>
          <w:w w:val="105"/>
        </w:rPr>
        <w:t>«</w:t>
      </w:r>
      <w:r w:rsidR="00AD3EBB" w:rsidRPr="0045329B">
        <w:rPr>
          <w:bCs/>
          <w:w w:val="105"/>
        </w:rPr>
        <w:t xml:space="preserve">Город Людиново и Людиновский </w:t>
      </w:r>
      <w:r w:rsidRPr="0045329B">
        <w:rPr>
          <w:bCs/>
          <w:w w:val="105"/>
        </w:rPr>
        <w:t>район</w:t>
      </w:r>
      <w:r w:rsidR="0045329B">
        <w:rPr>
          <w:bCs/>
          <w:w w:val="105"/>
        </w:rPr>
        <w:t>»</w:t>
      </w:r>
      <w:r w:rsidRPr="0045329B">
        <w:rPr>
          <w:bCs/>
          <w:w w:val="105"/>
        </w:rPr>
        <w:t xml:space="preserve"> и преобразованных поселений, входящих в его состав.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11. Определить, что архивные документы, находящиеся на хранении в органах местного самоуправления муницип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и преобразованных поселений, входящих в его состав, в упорядоченном состоянии передаются:</w:t>
      </w:r>
    </w:p>
    <w:p w:rsidR="00546179" w:rsidRPr="0045329B" w:rsidRDefault="00AD3EBB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Людиновского Районного Собрания, 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Городской Думы городского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Город Людиново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Сельской Думы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- в Думу Людиновского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области;</w:t>
      </w:r>
    </w:p>
    <w:p w:rsidR="00546179" w:rsidRPr="0045329B" w:rsidRDefault="00AD3EBB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Администрации муниципального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,  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Букань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Село Заречный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Игнатовка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Заболотье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Администрации сельского поселения 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>Деревня Манино</w:t>
      </w:r>
      <w:r w:rsidR="004532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5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>-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в администрацию Людиновского </w:t>
      </w:r>
      <w:r w:rsidR="00C15D38" w:rsidRPr="0045329B">
        <w:rPr>
          <w:rFonts w:ascii="Times New Roman" w:hAnsi="Times New Roman" w:cs="Times New Roman"/>
          <w:bCs/>
          <w:w w:val="105"/>
          <w:sz w:val="24"/>
          <w:szCs w:val="24"/>
        </w:rPr>
        <w:t>муниципального округа Калужской области;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структурными подразделениями со статусом юридического лица администрации муниципального района - в соответствующие отраслевые (функциональные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>) органы администрации Людиновского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>ьного округа Калужской области</w:t>
      </w:r>
      <w:r w:rsidRPr="0045329B">
        <w:rPr>
          <w:rFonts w:ascii="Times New Roman" w:hAnsi="Times New Roman" w:cs="Times New Roman"/>
          <w:bCs/>
          <w:i/>
          <w:w w:val="105"/>
          <w:sz w:val="24"/>
          <w:szCs w:val="24"/>
        </w:rPr>
        <w:t>,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в ином случае архивные документы передают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>ся в администрацию Людиновского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области;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администрациями городских (сельских) поселений - в территориальные орган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ы администрации Людиновского 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области.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12. Определить, что органы местн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>ого самоуправления Людиновского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муниципального округа Калужской области, осуществляющие хранение архивных документов муни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ципального района 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>Город Людиново и Людиновский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район</w:t>
      </w:r>
      <w:r w:rsidR="0045329B">
        <w:rPr>
          <w:rFonts w:ascii="Times New Roman" w:hAnsi="Times New Roman" w:cs="Times New Roman"/>
          <w:bCs/>
          <w:w w:val="105"/>
          <w:sz w:val="24"/>
          <w:szCs w:val="24"/>
        </w:rPr>
        <w:t>»</w:t>
      </w: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 и преобразованных поселений, входящих в его состав, наделены полномочием по выдаче архивных справок, архивных выписок и архивных копий на основании хранящихся документов в соответствии с требованиями законодательства об архивном деле.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13. Вопросы правопреемства, не урегулированные настоящим решением, рассматриваются в соответствии с действующим законодательством.</w:t>
      </w:r>
    </w:p>
    <w:p w:rsidR="00AD3EBB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14. О</w:t>
      </w:r>
      <w:r w:rsidR="00AD3EBB" w:rsidRPr="0045329B">
        <w:rPr>
          <w:rFonts w:ascii="Times New Roman" w:hAnsi="Times New Roman" w:cs="Times New Roman"/>
          <w:bCs/>
          <w:w w:val="105"/>
          <w:sz w:val="24"/>
          <w:szCs w:val="24"/>
        </w:rPr>
        <w:t xml:space="preserve">публиковать настоящее решение в </w:t>
      </w:r>
      <w:r w:rsidR="00AD3EBB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3EBB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3EBB" w:rsidRPr="0045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D3EBB" w:rsidRPr="0045329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45329B">
        <w:rPr>
          <w:rFonts w:ascii="Times New Roman" w:hAnsi="Times New Roman" w:cs="Times New Roman"/>
          <w:sz w:val="24"/>
          <w:szCs w:val="24"/>
        </w:rPr>
        <w:t>«</w:t>
      </w:r>
      <w:r w:rsidR="00AD3EBB" w:rsidRPr="0045329B">
        <w:rPr>
          <w:rFonts w:ascii="Times New Roman" w:hAnsi="Times New Roman" w:cs="Times New Roman"/>
          <w:sz w:val="24"/>
          <w:szCs w:val="24"/>
        </w:rPr>
        <w:t>Интернет</w:t>
      </w:r>
      <w:r w:rsidR="0045329B">
        <w:rPr>
          <w:rFonts w:ascii="Times New Roman" w:hAnsi="Times New Roman" w:cs="Times New Roman"/>
          <w:sz w:val="24"/>
          <w:szCs w:val="24"/>
        </w:rPr>
        <w:t>»</w:t>
      </w:r>
      <w:r w:rsidR="003C4EF2">
        <w:rPr>
          <w:rFonts w:ascii="Times New Roman" w:hAnsi="Times New Roman" w:cs="Times New Roman"/>
          <w:sz w:val="24"/>
          <w:szCs w:val="24"/>
        </w:rPr>
        <w:t xml:space="preserve"> и в газете «Людиновский рабочий»</w:t>
      </w:r>
      <w:bookmarkStart w:id="0" w:name="_GoBack"/>
      <w:bookmarkEnd w:id="0"/>
      <w:r w:rsidR="00AD3EBB" w:rsidRPr="0045329B">
        <w:rPr>
          <w:rFonts w:ascii="Times New Roman" w:hAnsi="Times New Roman" w:cs="Times New Roman"/>
          <w:sz w:val="24"/>
          <w:szCs w:val="24"/>
        </w:rPr>
        <w:t>.</w:t>
      </w:r>
    </w:p>
    <w:p w:rsidR="00546179" w:rsidRPr="0045329B" w:rsidRDefault="00C15D38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329B">
        <w:rPr>
          <w:rFonts w:ascii="Times New Roman" w:hAnsi="Times New Roman" w:cs="Times New Roman"/>
          <w:bCs/>
          <w:w w:val="105"/>
          <w:sz w:val="24"/>
          <w:szCs w:val="24"/>
        </w:rPr>
        <w:t>15. Настоящее решение вступает в силу после его официального опубликования.</w:t>
      </w:r>
    </w:p>
    <w:p w:rsidR="00546179" w:rsidRDefault="00546179" w:rsidP="0045329B">
      <w:pPr>
        <w:pStyle w:val="Standard"/>
        <w:widowControl/>
        <w:shd w:val="clear" w:color="auto" w:fill="FFFFFF"/>
        <w:rPr>
          <w:spacing w:val="-5"/>
          <w:sz w:val="24"/>
          <w:szCs w:val="24"/>
        </w:rPr>
      </w:pPr>
    </w:p>
    <w:p w:rsidR="0045329B" w:rsidRPr="0045329B" w:rsidRDefault="0045329B" w:rsidP="0045329B">
      <w:pPr>
        <w:pStyle w:val="Standard"/>
        <w:widowControl/>
        <w:shd w:val="clear" w:color="auto" w:fill="FFFFFF"/>
        <w:rPr>
          <w:spacing w:val="-5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46179" w:rsidRPr="0045329B">
        <w:tc>
          <w:tcPr>
            <w:tcW w:w="4926" w:type="dxa"/>
          </w:tcPr>
          <w:p w:rsidR="00546179" w:rsidRPr="0045329B" w:rsidRDefault="00C15D38" w:rsidP="0045329B">
            <w:pPr>
              <w:spacing w:after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9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Временно исполняющий полномочия  </w:t>
            </w:r>
            <w:r w:rsidR="00AD3EBB" w:rsidRPr="0045329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Главы Людиновского </w:t>
            </w:r>
            <w:r w:rsidRPr="0045329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муниципального округа Калужской области</w:t>
            </w:r>
          </w:p>
        </w:tc>
        <w:tc>
          <w:tcPr>
            <w:tcW w:w="4927" w:type="dxa"/>
          </w:tcPr>
          <w:p w:rsidR="00546179" w:rsidRPr="0045329B" w:rsidRDefault="00546179" w:rsidP="0045329B">
            <w:pPr>
              <w:spacing w:after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67D" w:rsidRPr="0045329B" w:rsidRDefault="00A2067D" w:rsidP="0045329B">
            <w:pPr>
              <w:spacing w:after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67D" w:rsidRPr="0045329B" w:rsidRDefault="00532A48" w:rsidP="0045329B">
            <w:pPr>
              <w:spacing w:after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Перевалов</w:t>
            </w:r>
          </w:p>
          <w:p w:rsidR="00546179" w:rsidRPr="0045329B" w:rsidRDefault="00546179" w:rsidP="0045329B">
            <w:pPr>
              <w:spacing w:after="1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179" w:rsidRPr="0045329B" w:rsidRDefault="00546179" w:rsidP="0045329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179" w:rsidRPr="0045329B" w:rsidRDefault="00546179" w:rsidP="0045329B">
      <w:pPr>
        <w:spacing w:line="240" w:lineRule="auto"/>
        <w:rPr>
          <w:sz w:val="24"/>
          <w:szCs w:val="24"/>
        </w:rPr>
      </w:pPr>
    </w:p>
    <w:sectPr w:rsidR="00546179" w:rsidRPr="0045329B" w:rsidSect="000A17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1E" w:rsidRDefault="00783D1E">
      <w:pPr>
        <w:spacing w:line="240" w:lineRule="auto"/>
      </w:pPr>
      <w:r>
        <w:separator/>
      </w:r>
    </w:p>
  </w:endnote>
  <w:endnote w:type="continuationSeparator" w:id="0">
    <w:p w:rsidR="00783D1E" w:rsidRDefault="00783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1E" w:rsidRDefault="00783D1E">
      <w:pPr>
        <w:spacing w:after="0"/>
      </w:pPr>
      <w:r>
        <w:separator/>
      </w:r>
    </w:p>
  </w:footnote>
  <w:footnote w:type="continuationSeparator" w:id="0">
    <w:p w:rsidR="00783D1E" w:rsidRDefault="00783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230"/>
    <w:rsid w:val="00011CA2"/>
    <w:rsid w:val="00033E07"/>
    <w:rsid w:val="000460B8"/>
    <w:rsid w:val="000947E3"/>
    <w:rsid w:val="000A17B5"/>
    <w:rsid w:val="000A6A26"/>
    <w:rsid w:val="000B4E34"/>
    <w:rsid w:val="000F403E"/>
    <w:rsid w:val="00105394"/>
    <w:rsid w:val="00142EB0"/>
    <w:rsid w:val="0014506C"/>
    <w:rsid w:val="00146F1D"/>
    <w:rsid w:val="00150E9B"/>
    <w:rsid w:val="00167E35"/>
    <w:rsid w:val="001703D6"/>
    <w:rsid w:val="0017378B"/>
    <w:rsid w:val="00182720"/>
    <w:rsid w:val="001A6A4E"/>
    <w:rsid w:val="001A7913"/>
    <w:rsid w:val="001F5FE1"/>
    <w:rsid w:val="00221D26"/>
    <w:rsid w:val="00227C9F"/>
    <w:rsid w:val="002764DF"/>
    <w:rsid w:val="002A369F"/>
    <w:rsid w:val="002A36AB"/>
    <w:rsid w:val="002B35F9"/>
    <w:rsid w:val="002B7573"/>
    <w:rsid w:val="002D0748"/>
    <w:rsid w:val="002D260A"/>
    <w:rsid w:val="002E58D6"/>
    <w:rsid w:val="002F5352"/>
    <w:rsid w:val="00311650"/>
    <w:rsid w:val="00375195"/>
    <w:rsid w:val="0039143C"/>
    <w:rsid w:val="00392C33"/>
    <w:rsid w:val="00393643"/>
    <w:rsid w:val="003952F8"/>
    <w:rsid w:val="003C4EF2"/>
    <w:rsid w:val="003F74E7"/>
    <w:rsid w:val="00425577"/>
    <w:rsid w:val="0043099E"/>
    <w:rsid w:val="004446EF"/>
    <w:rsid w:val="0045329B"/>
    <w:rsid w:val="00455261"/>
    <w:rsid w:val="00475357"/>
    <w:rsid w:val="00487D0C"/>
    <w:rsid w:val="00496987"/>
    <w:rsid w:val="004B37F9"/>
    <w:rsid w:val="004E3482"/>
    <w:rsid w:val="00500933"/>
    <w:rsid w:val="00501EDA"/>
    <w:rsid w:val="0052218A"/>
    <w:rsid w:val="00532A48"/>
    <w:rsid w:val="00546179"/>
    <w:rsid w:val="005670FB"/>
    <w:rsid w:val="00584EDE"/>
    <w:rsid w:val="00587B70"/>
    <w:rsid w:val="005B1EA7"/>
    <w:rsid w:val="005B7E00"/>
    <w:rsid w:val="005D3221"/>
    <w:rsid w:val="005E76CF"/>
    <w:rsid w:val="005F7ACE"/>
    <w:rsid w:val="00620D54"/>
    <w:rsid w:val="00643F4A"/>
    <w:rsid w:val="006447CB"/>
    <w:rsid w:val="006576CC"/>
    <w:rsid w:val="006C0D1C"/>
    <w:rsid w:val="006F1BAA"/>
    <w:rsid w:val="006F370E"/>
    <w:rsid w:val="006F65A1"/>
    <w:rsid w:val="00726B1C"/>
    <w:rsid w:val="00762DA5"/>
    <w:rsid w:val="00770DDA"/>
    <w:rsid w:val="00783D1E"/>
    <w:rsid w:val="0079411E"/>
    <w:rsid w:val="007A324F"/>
    <w:rsid w:val="007D54B9"/>
    <w:rsid w:val="007E2C0F"/>
    <w:rsid w:val="00801C37"/>
    <w:rsid w:val="0081000C"/>
    <w:rsid w:val="00826339"/>
    <w:rsid w:val="00832723"/>
    <w:rsid w:val="00835C62"/>
    <w:rsid w:val="00841B69"/>
    <w:rsid w:val="00857023"/>
    <w:rsid w:val="00874796"/>
    <w:rsid w:val="008A2E1E"/>
    <w:rsid w:val="008C1901"/>
    <w:rsid w:val="008C257C"/>
    <w:rsid w:val="008C40D4"/>
    <w:rsid w:val="008E01C7"/>
    <w:rsid w:val="008E4AA8"/>
    <w:rsid w:val="008F2162"/>
    <w:rsid w:val="008F4A0C"/>
    <w:rsid w:val="009165FC"/>
    <w:rsid w:val="009311EE"/>
    <w:rsid w:val="0094362E"/>
    <w:rsid w:val="00945524"/>
    <w:rsid w:val="00956140"/>
    <w:rsid w:val="009631A6"/>
    <w:rsid w:val="009772E5"/>
    <w:rsid w:val="00995610"/>
    <w:rsid w:val="009C151F"/>
    <w:rsid w:val="009E079A"/>
    <w:rsid w:val="009E22BD"/>
    <w:rsid w:val="009F769C"/>
    <w:rsid w:val="00A2067D"/>
    <w:rsid w:val="00A25B0A"/>
    <w:rsid w:val="00A37FB2"/>
    <w:rsid w:val="00A474B1"/>
    <w:rsid w:val="00A62BA2"/>
    <w:rsid w:val="00A92C5D"/>
    <w:rsid w:val="00AA1F43"/>
    <w:rsid w:val="00AC2668"/>
    <w:rsid w:val="00AC71F3"/>
    <w:rsid w:val="00AD1A8B"/>
    <w:rsid w:val="00AD33CB"/>
    <w:rsid w:val="00AD3EBB"/>
    <w:rsid w:val="00B01DC8"/>
    <w:rsid w:val="00B05F7E"/>
    <w:rsid w:val="00B2689B"/>
    <w:rsid w:val="00B35F7A"/>
    <w:rsid w:val="00B36708"/>
    <w:rsid w:val="00B46510"/>
    <w:rsid w:val="00B51EC3"/>
    <w:rsid w:val="00B64246"/>
    <w:rsid w:val="00B70C90"/>
    <w:rsid w:val="00B80AD5"/>
    <w:rsid w:val="00B85550"/>
    <w:rsid w:val="00B85F37"/>
    <w:rsid w:val="00B909CD"/>
    <w:rsid w:val="00B93A1D"/>
    <w:rsid w:val="00B978B9"/>
    <w:rsid w:val="00BA1FB4"/>
    <w:rsid w:val="00BB198E"/>
    <w:rsid w:val="00BB1B5E"/>
    <w:rsid w:val="00BD53CA"/>
    <w:rsid w:val="00BD77C9"/>
    <w:rsid w:val="00C03F7F"/>
    <w:rsid w:val="00C15D38"/>
    <w:rsid w:val="00C249C3"/>
    <w:rsid w:val="00C318D8"/>
    <w:rsid w:val="00C3476E"/>
    <w:rsid w:val="00C3665C"/>
    <w:rsid w:val="00C47C1A"/>
    <w:rsid w:val="00C56230"/>
    <w:rsid w:val="00C63E7E"/>
    <w:rsid w:val="00C70A9F"/>
    <w:rsid w:val="00C73662"/>
    <w:rsid w:val="00CE08B9"/>
    <w:rsid w:val="00CE730F"/>
    <w:rsid w:val="00D03DBF"/>
    <w:rsid w:val="00D17E27"/>
    <w:rsid w:val="00D23A2F"/>
    <w:rsid w:val="00D32697"/>
    <w:rsid w:val="00D77113"/>
    <w:rsid w:val="00D940D3"/>
    <w:rsid w:val="00DE4907"/>
    <w:rsid w:val="00E10360"/>
    <w:rsid w:val="00E17FBD"/>
    <w:rsid w:val="00E23316"/>
    <w:rsid w:val="00E250EA"/>
    <w:rsid w:val="00E316D4"/>
    <w:rsid w:val="00E43678"/>
    <w:rsid w:val="00E509D7"/>
    <w:rsid w:val="00E7134F"/>
    <w:rsid w:val="00ED345F"/>
    <w:rsid w:val="00ED7B26"/>
    <w:rsid w:val="00F04E57"/>
    <w:rsid w:val="00F35C7F"/>
    <w:rsid w:val="00F604E3"/>
    <w:rsid w:val="00F73C74"/>
    <w:rsid w:val="00F82A64"/>
    <w:rsid w:val="00F96E9C"/>
    <w:rsid w:val="00FA3795"/>
    <w:rsid w:val="00FB348D"/>
    <w:rsid w:val="00FC640F"/>
    <w:rsid w:val="4FF1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2F05F-72E3-48B8-80D5-CF10B5EA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0A17B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A17B5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0A17B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A1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7B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A17B5"/>
  </w:style>
  <w:style w:type="character" w:customStyle="1" w:styleId="a6">
    <w:name w:val="Нижний колонтитул Знак"/>
    <w:basedOn w:val="a0"/>
    <w:link w:val="a5"/>
    <w:uiPriority w:val="99"/>
    <w:rsid w:val="000A17B5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0A17B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A17B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0A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ludra</cp:lastModifiedBy>
  <cp:revision>61</cp:revision>
  <cp:lastPrinted>2025-08-14T12:07:00Z</cp:lastPrinted>
  <dcterms:created xsi:type="dcterms:W3CDTF">2025-06-04T14:05:00Z</dcterms:created>
  <dcterms:modified xsi:type="dcterms:W3CDTF">2025-09-24T06:48:00Z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76D30BAA4B1F40DB84AC7DC58EA3A123_12</vt:lpwstr>
  </property>
</Properties>
</file>